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59" w:rsidRPr="008215F0" w:rsidRDefault="007716A4" w:rsidP="00F84B59">
      <w:pPr>
        <w:spacing w:after="0"/>
        <w:jc w:val="both"/>
        <w:rPr>
          <w:rFonts w:ascii="PT Serif" w:hAnsi="PT Serif"/>
          <w:lang w:val="tr-TR"/>
        </w:rPr>
      </w:pPr>
      <w:bookmarkStart w:id="0" w:name="_GoBack"/>
      <w:r>
        <w:rPr>
          <w:rFonts w:ascii="PT Serif" w:hAnsi="PT Serif"/>
          <w:lang w:val="tr-TR"/>
        </w:rPr>
        <w:t>Preken</w:t>
      </w:r>
      <w:r w:rsidR="00F84B59" w:rsidRPr="008215F0">
        <w:rPr>
          <w:rFonts w:ascii="PT Serif" w:hAnsi="PT Serif"/>
          <w:lang w:val="tr-TR"/>
        </w:rPr>
        <w:t xml:space="preserve">, </w:t>
      </w:r>
      <w:r w:rsidR="00F84B59">
        <w:rPr>
          <w:rFonts w:ascii="PT Serif" w:hAnsi="PT Serif"/>
          <w:lang w:val="tr-TR"/>
        </w:rPr>
        <w:t>05</w:t>
      </w:r>
      <w:r w:rsidR="00F84B59" w:rsidRPr="008215F0">
        <w:rPr>
          <w:rFonts w:ascii="PT Serif" w:hAnsi="PT Serif"/>
          <w:lang w:val="tr-TR"/>
        </w:rPr>
        <w:t>.</w:t>
      </w:r>
      <w:r w:rsidR="00F84B59">
        <w:rPr>
          <w:rFonts w:ascii="PT Serif" w:hAnsi="PT Serif"/>
          <w:lang w:val="tr-TR"/>
        </w:rPr>
        <w:t>06</w:t>
      </w:r>
      <w:r w:rsidR="00F84B59" w:rsidRPr="008215F0">
        <w:rPr>
          <w:rFonts w:ascii="PT Serif" w:hAnsi="PT Serif"/>
          <w:lang w:val="tr-TR"/>
        </w:rPr>
        <w:t>.2020</w:t>
      </w:r>
    </w:p>
    <w:p w:rsidR="00F84B59" w:rsidRDefault="00F84B59" w:rsidP="00F84B59">
      <w:pPr>
        <w:bidi/>
        <w:spacing w:after="0" w:line="276" w:lineRule="auto"/>
        <w:jc w:val="right"/>
        <w:rPr>
          <w:rFonts w:ascii="PT Serif" w:hAnsi="PT Serif"/>
          <w:b/>
          <w:bCs/>
          <w:lang w:val="tr-TR"/>
        </w:rPr>
      </w:pPr>
      <w:r>
        <w:rPr>
          <w:rFonts w:ascii="PT Serif" w:hAnsi="PT Serif"/>
          <w:b/>
          <w:bCs/>
          <w:lang w:val="tr-TR"/>
        </w:rPr>
        <w:t>K</w:t>
      </w:r>
      <w:r w:rsidRPr="00F84B59">
        <w:rPr>
          <w:rFonts w:ascii="PT Serif" w:hAnsi="PT Serif"/>
          <w:b/>
          <w:bCs/>
          <w:lang w:val="tr-TR"/>
        </w:rPr>
        <w:t>yskhet borg; Hijap</w:t>
      </w:r>
    </w:p>
    <w:bookmarkEnd w:id="0"/>
    <w:p w:rsidR="00F84B59" w:rsidRDefault="00F84B59" w:rsidP="00F84B59">
      <w:pPr>
        <w:bidi/>
        <w:spacing w:after="0" w:line="276" w:lineRule="auto"/>
        <w:jc w:val="right"/>
        <w:rPr>
          <w:rFonts w:ascii="PT Serif" w:hAnsi="PT Serif"/>
          <w:b/>
          <w:bCs/>
          <w:lang w:val="tr-TR"/>
        </w:rPr>
      </w:pPr>
    </w:p>
    <w:p w:rsidR="00F84B59" w:rsidRDefault="00F84B59" w:rsidP="00F84B59">
      <w:pPr>
        <w:bidi/>
        <w:spacing w:after="0" w:line="276" w:lineRule="auto"/>
        <w:jc w:val="both"/>
        <w:rPr>
          <w:rFonts w:ascii="XB Niloofar" w:hAnsi="XB Niloofar" w:cs="XB Niloofar"/>
          <w:b/>
          <w:bCs/>
          <w:sz w:val="24"/>
          <w:szCs w:val="24"/>
          <w:lang w:val="tr-TR"/>
        </w:rPr>
      </w:pPr>
      <w:r w:rsidRPr="008215F0">
        <w:rPr>
          <w:rFonts w:ascii="XB Niloofar" w:hAnsi="XB Niloofar" w:cs="XB Niloofar" w:hint="cs"/>
          <w:b/>
          <w:bCs/>
          <w:color w:val="C00000"/>
          <w:sz w:val="24"/>
          <w:szCs w:val="24"/>
          <w:rtl/>
          <w:lang w:val="tr-TR"/>
        </w:rPr>
        <w:t>﴿</w:t>
      </w:r>
      <w:r w:rsidRPr="008215F0">
        <w:rPr>
          <w:rFonts w:ascii="XB Niloofar" w:hAnsi="XB Niloofar" w:cs="XB Niloofar" w:hint="cs"/>
          <w:b/>
          <w:bCs/>
          <w:sz w:val="24"/>
          <w:szCs w:val="24"/>
          <w:rtl/>
          <w:lang w:val="tr-TR"/>
        </w:rPr>
        <w:t>يَا بَنٖٓي اٰدَمَ قَدْ اَنْزَلْنَا عَلَيْكُمْ لِبَاساً يُوَارٖي سَوْاٰتِكُمْ وَرٖيشاً</w:t>
      </w:r>
    </w:p>
    <w:p w:rsidR="00F84B59" w:rsidRPr="003E3DCD" w:rsidRDefault="00F84B59" w:rsidP="00F84B59">
      <w:pPr>
        <w:bidi/>
        <w:spacing w:after="0" w:line="276" w:lineRule="auto"/>
        <w:jc w:val="both"/>
        <w:rPr>
          <w:rFonts w:ascii="XB Niloofar" w:hAnsi="XB Niloofar" w:cs="XB Niloofar"/>
          <w:b/>
          <w:bCs/>
          <w:sz w:val="24"/>
          <w:szCs w:val="24"/>
          <w:lang w:val="tr-TR"/>
        </w:rPr>
      </w:pPr>
      <w:r w:rsidRPr="008215F0">
        <w:rPr>
          <w:rFonts w:ascii="XB Niloofar" w:hAnsi="XB Niloofar" w:cs="XB Niloofar" w:hint="cs"/>
          <w:b/>
          <w:bCs/>
          <w:sz w:val="24"/>
          <w:szCs w:val="24"/>
          <w:rtl/>
          <w:lang w:val="tr-TR"/>
        </w:rPr>
        <w:t>وَلِبَا</w:t>
      </w:r>
      <w:r w:rsidRPr="003E3DCD">
        <w:rPr>
          <w:rFonts w:ascii="XB Niloofar" w:hAnsi="XB Niloofar" w:cs="XB Niloofar" w:hint="cs"/>
          <w:b/>
          <w:bCs/>
          <w:sz w:val="24"/>
          <w:szCs w:val="24"/>
          <w:rtl/>
          <w:lang w:val="tr-TR"/>
        </w:rPr>
        <w:t xml:space="preserve">سُ التَّقْوٰى ذٰلِكَ خَيْرٌ </w:t>
      </w:r>
      <w:r w:rsidRPr="00F42841">
        <w:rPr>
          <w:rFonts w:ascii="XB Niloofar" w:hAnsi="XB Niloofar" w:cs="XB Niloofar" w:hint="cs"/>
          <w:b/>
          <w:bCs/>
          <w:color w:val="C00000"/>
          <w:sz w:val="24"/>
          <w:szCs w:val="24"/>
          <w:vertAlign w:val="superscript"/>
          <w:rtl/>
          <w:lang w:val="tr-TR"/>
        </w:rPr>
        <w:t>ط</w:t>
      </w:r>
      <w:r w:rsidRPr="003E3DCD">
        <w:rPr>
          <w:rFonts w:ascii="XB Niloofar" w:hAnsi="XB Niloofar" w:cs="XB Niloofar" w:hint="cs"/>
          <w:b/>
          <w:bCs/>
          <w:sz w:val="24"/>
          <w:szCs w:val="24"/>
          <w:rtl/>
          <w:lang w:val="tr-TR"/>
        </w:rPr>
        <w:t xml:space="preserve"> ذٰلِكَ مِنْ اٰيَاتِ اللّٰهِ لَعَلَّهُمْ يَذَّكَّرُونَ</w:t>
      </w:r>
      <w:r w:rsidRPr="003E3DCD">
        <w:rPr>
          <w:rFonts w:ascii="XB Niloofar" w:hAnsi="XB Niloofar" w:cs="XB Niloofar" w:hint="cs"/>
          <w:b/>
          <w:bCs/>
          <w:color w:val="C00000"/>
          <w:sz w:val="24"/>
          <w:szCs w:val="24"/>
          <w:rtl/>
          <w:lang w:val="tr-TR"/>
        </w:rPr>
        <w:t>﴾</w:t>
      </w:r>
    </w:p>
    <w:p w:rsidR="00F84B59" w:rsidRDefault="00F84B59" w:rsidP="00F84B59">
      <w:pPr>
        <w:bidi/>
        <w:spacing w:after="0" w:line="276" w:lineRule="auto"/>
        <w:jc w:val="both"/>
        <w:rPr>
          <w:rFonts w:ascii="XB Niloofar" w:hAnsi="XB Niloofar" w:cs="XB Niloofar"/>
          <w:b/>
          <w:bCs/>
          <w:sz w:val="24"/>
          <w:szCs w:val="24"/>
          <w:rtl/>
          <w:lang w:val="tr-TR"/>
        </w:rPr>
      </w:pPr>
      <w:r w:rsidRPr="003E3DCD">
        <w:rPr>
          <w:rFonts w:ascii="XB Niloofar" w:hAnsi="XB Niloofar" w:cs="XB Niloofar" w:hint="cs"/>
          <w:sz w:val="24"/>
          <w:szCs w:val="24"/>
          <w:rtl/>
          <w:lang w:val="tr-TR"/>
        </w:rPr>
        <w:t>وَقَالَ النَّذِيرُ البَشِيرُ رَسُولُ اللَّهِ ﷺ:</w:t>
      </w:r>
    </w:p>
    <w:p w:rsidR="00F84B59" w:rsidRPr="003E3DCD" w:rsidRDefault="00F84B59" w:rsidP="00F84B59">
      <w:pPr>
        <w:bidi/>
        <w:spacing w:after="0" w:line="276" w:lineRule="auto"/>
        <w:jc w:val="both"/>
        <w:rPr>
          <w:rFonts w:ascii="XB Niloofar" w:eastAsia="Times New Roman" w:hAnsi="XB Niloofar" w:cs="XB Niloofar"/>
          <w:b/>
          <w:bCs/>
          <w:sz w:val="24"/>
          <w:szCs w:val="24"/>
          <w:rtl/>
          <w:lang w:eastAsia="de-DE"/>
        </w:rPr>
      </w:pPr>
      <w:r w:rsidRPr="003E3DCD">
        <w:rPr>
          <w:rFonts w:ascii="XB Niloofar" w:eastAsia="Times New Roman" w:hAnsi="XB Niloofar" w:cs="XB Niloofar" w:hint="cs"/>
          <w:b/>
          <w:bCs/>
          <w:color w:val="C00000"/>
          <w:sz w:val="24"/>
          <w:szCs w:val="24"/>
          <w:rtl/>
          <w:lang w:eastAsia="de-DE"/>
        </w:rPr>
        <w:t>«</w:t>
      </w:r>
      <w:r w:rsidRPr="003E3DCD">
        <w:rPr>
          <w:rFonts w:ascii="XB Niloofar" w:eastAsia="Times New Roman" w:hAnsi="XB Niloofar" w:cs="XB Niloofar" w:hint="cs"/>
          <w:b/>
          <w:bCs/>
          <w:color w:val="000000"/>
          <w:sz w:val="24"/>
          <w:szCs w:val="24"/>
          <w:rtl/>
          <w:lang w:eastAsia="de-DE"/>
        </w:rPr>
        <w:t>مَنْ تَوَكَّلَ لِي مَا بَيْنَ رِجْلَيْهِ وَمَا بَيْنَ لَحْيَيْهِ، تَوَكَّلْتُ لَهُ بِالْجَنَّةِ</w:t>
      </w:r>
      <w:r w:rsidRPr="003E3DCD">
        <w:rPr>
          <w:rFonts w:ascii="XB Niloofar" w:eastAsia="Times New Roman" w:hAnsi="XB Niloofar" w:cs="XB Niloofar" w:hint="cs"/>
          <w:b/>
          <w:bCs/>
          <w:color w:val="C00000"/>
          <w:sz w:val="24"/>
          <w:szCs w:val="24"/>
          <w:rtl/>
          <w:lang w:eastAsia="de-DE"/>
        </w:rPr>
        <w:t>»</w:t>
      </w:r>
    </w:p>
    <w:p w:rsidR="00F84B59" w:rsidRDefault="00F84B59" w:rsidP="00F84B59">
      <w:pPr>
        <w:spacing w:after="60" w:line="240" w:lineRule="auto"/>
        <w:jc w:val="both"/>
        <w:rPr>
          <w:rFonts w:ascii="PT Serif" w:eastAsia="Calibri" w:hAnsi="PT Serif" w:cs="Arial"/>
          <w:b/>
          <w:bCs/>
          <w:sz w:val="24"/>
          <w:szCs w:val="24"/>
          <w:lang w:val="tr-TR"/>
        </w:rPr>
      </w:pPr>
    </w:p>
    <w:p w:rsidR="00F84B59" w:rsidRDefault="00F84B59" w:rsidP="00F84B59">
      <w:pPr>
        <w:spacing w:after="60" w:line="240" w:lineRule="auto"/>
        <w:jc w:val="both"/>
        <w:rPr>
          <w:rFonts w:ascii="PT Serif" w:eastAsia="Calibri" w:hAnsi="PT Serif" w:cs="Arial"/>
          <w:sz w:val="24"/>
          <w:szCs w:val="24"/>
          <w:lang w:val="tr-TR"/>
        </w:rPr>
      </w:pPr>
      <w:r w:rsidRPr="00F84B59">
        <w:rPr>
          <w:rFonts w:ascii="PT Serif" w:eastAsia="Calibri" w:hAnsi="PT Serif" w:cs="Arial"/>
          <w:b/>
          <w:bCs/>
          <w:sz w:val="24"/>
          <w:szCs w:val="24"/>
          <w:lang w:val="tr-TR"/>
        </w:rPr>
        <w:t>Dyrebare muslimer</w:t>
      </w:r>
      <w:r w:rsidRPr="00F84B59">
        <w:rPr>
          <w:rFonts w:ascii="PT Serif" w:eastAsia="Calibri" w:hAnsi="PT Serif" w:cs="Arial"/>
          <w:sz w:val="24"/>
          <w:szCs w:val="24"/>
          <w:lang w:val="tr-TR"/>
        </w:rPr>
        <w:t>!</w:t>
      </w:r>
    </w:p>
    <w:p w:rsidR="00F84B59" w:rsidRDefault="00F84B59" w:rsidP="00F62363">
      <w:pPr>
        <w:spacing w:after="60" w:line="240" w:lineRule="auto"/>
        <w:jc w:val="both"/>
        <w:rPr>
          <w:rFonts w:ascii="PT Serif" w:eastAsia="Calibri" w:hAnsi="PT Serif" w:cs="Arial"/>
          <w:sz w:val="24"/>
          <w:szCs w:val="24"/>
          <w:lang w:val="tr-TR"/>
        </w:rPr>
      </w:pPr>
      <w:r w:rsidRPr="00F84B59">
        <w:rPr>
          <w:rFonts w:ascii="PT Serif" w:eastAsia="Calibri" w:hAnsi="PT Serif" w:cs="Arial"/>
          <w:sz w:val="24"/>
          <w:szCs w:val="24"/>
          <w:lang w:val="tr-TR"/>
        </w:rPr>
        <w:t>Vår allmektige herre uttalte at han skapte mennesket i den vakreste form i Surah of Tîn.</w:t>
      </w:r>
      <w:r w:rsidRPr="00F84B59">
        <w:t xml:space="preserve"> </w:t>
      </w:r>
      <w:r w:rsidRPr="00F84B59">
        <w:rPr>
          <w:rFonts w:ascii="PT Serif" w:eastAsia="Calibri" w:hAnsi="PT Serif" w:cs="Arial"/>
          <w:sz w:val="24"/>
          <w:szCs w:val="24"/>
          <w:lang w:val="tr-TR"/>
        </w:rPr>
        <w:t>Han la bildet til sin mening; er form og utseende.</w:t>
      </w:r>
      <w:r w:rsidRPr="00F84B59">
        <w:t xml:space="preserve"> </w:t>
      </w:r>
      <w:r>
        <w:rPr>
          <w:rFonts w:ascii="PT Serif" w:eastAsia="Calibri" w:hAnsi="PT Serif" w:cs="Arial"/>
          <w:sz w:val="24"/>
          <w:szCs w:val="24"/>
          <w:lang w:val="tr-TR"/>
        </w:rPr>
        <w:t xml:space="preserve">Sîret betyr det indre, </w:t>
      </w:r>
      <w:r w:rsidR="00F62363">
        <w:rPr>
          <w:rFonts w:ascii="PT Serif" w:eastAsia="Calibri" w:hAnsi="PT Serif" w:cs="Arial"/>
          <w:sz w:val="24"/>
          <w:szCs w:val="24"/>
          <w:lang w:val="tr-TR"/>
        </w:rPr>
        <w:t>sitauajon</w:t>
      </w:r>
      <w:r w:rsidRPr="00F84B59">
        <w:rPr>
          <w:rFonts w:ascii="PT Serif" w:eastAsia="Calibri" w:hAnsi="PT Serif" w:cs="Arial"/>
          <w:sz w:val="24"/>
          <w:szCs w:val="24"/>
          <w:lang w:val="tr-TR"/>
        </w:rPr>
        <w:t>, bevegelsen og moralen til en person.</w:t>
      </w:r>
      <w:r w:rsidR="00F62363" w:rsidRPr="00F62363">
        <w:t xml:space="preserve"> </w:t>
      </w:r>
      <w:r w:rsidR="00F62363" w:rsidRPr="00F62363">
        <w:rPr>
          <w:rFonts w:ascii="PT Serif" w:eastAsia="Calibri" w:hAnsi="PT Serif" w:cs="Arial"/>
          <w:sz w:val="24"/>
          <w:szCs w:val="24"/>
          <w:lang w:val="tr-TR"/>
        </w:rPr>
        <w:t>Som manifestasjonen av navnet Khâlık, holdt vår Mawla som skapte menneskeheten som den høyeste blant vesener oss ansvarlig for skjønnheten i sireten vår.</w:t>
      </w:r>
      <w:r w:rsidR="00F62363" w:rsidRPr="00F62363">
        <w:t xml:space="preserve"> </w:t>
      </w:r>
      <w:r w:rsidR="00F62363" w:rsidRPr="00F62363">
        <w:rPr>
          <w:rFonts w:ascii="PT Serif" w:eastAsia="Calibri" w:hAnsi="PT Serif" w:cs="Arial"/>
          <w:sz w:val="24"/>
          <w:szCs w:val="24"/>
          <w:lang w:val="tr-TR"/>
        </w:rPr>
        <w:t>Sîret betyr det ind</w:t>
      </w:r>
      <w:r w:rsidR="00F62363">
        <w:rPr>
          <w:rFonts w:ascii="PT Serif" w:eastAsia="Calibri" w:hAnsi="PT Serif" w:cs="Arial"/>
          <w:sz w:val="24"/>
          <w:szCs w:val="24"/>
          <w:lang w:val="tr-TR"/>
        </w:rPr>
        <w:t>re, tilstanden</w:t>
      </w:r>
      <w:r w:rsidR="00F62363" w:rsidRPr="00F62363">
        <w:rPr>
          <w:rFonts w:ascii="PT Serif" w:eastAsia="Calibri" w:hAnsi="PT Serif" w:cs="Arial"/>
          <w:sz w:val="24"/>
          <w:szCs w:val="24"/>
          <w:lang w:val="tr-TR"/>
        </w:rPr>
        <w:t>, bevegelsen og moralen til en person.</w:t>
      </w:r>
      <w:r w:rsidR="00F62363" w:rsidRPr="00F62363">
        <w:t xml:space="preserve"> </w:t>
      </w:r>
      <w:r w:rsidR="00F62363" w:rsidRPr="00F62363">
        <w:rPr>
          <w:rFonts w:ascii="PT Serif" w:eastAsia="Calibri" w:hAnsi="PT Serif" w:cs="Arial"/>
          <w:sz w:val="24"/>
          <w:szCs w:val="24"/>
          <w:lang w:val="tr-TR"/>
        </w:rPr>
        <w:t>Igjen, i Surah Tîn, i tilfelle å bli ødelag og stygghet av Sîret, advares det om at mennesket vil bli redusert til den laveste grad av vesener.</w:t>
      </w:r>
      <w:r w:rsidR="00F62363" w:rsidRPr="00F62363">
        <w:t xml:space="preserve"> </w:t>
      </w:r>
      <w:r w:rsidR="00F62363" w:rsidRPr="00F62363">
        <w:rPr>
          <w:rFonts w:ascii="PT Serif" w:eastAsia="Calibri" w:hAnsi="PT Serif" w:cs="Arial"/>
          <w:sz w:val="24"/>
          <w:szCs w:val="24"/>
          <w:lang w:val="tr-TR"/>
        </w:rPr>
        <w:t>Å strebe etter en indre skjønnhet som vil passe med den formelle estetikken skapt av Hak Taâlâ, er en viktig plikt som Allah pålegger hans tjenere.</w:t>
      </w:r>
      <w:r w:rsidR="00EB70E2" w:rsidRPr="00EB70E2">
        <w:t xml:space="preserve"> </w:t>
      </w:r>
      <w:r w:rsidR="00EB70E2" w:rsidRPr="00EB70E2">
        <w:rPr>
          <w:rFonts w:ascii="PT Serif" w:eastAsia="Calibri" w:hAnsi="PT Serif" w:cs="Arial"/>
          <w:sz w:val="24"/>
          <w:szCs w:val="24"/>
          <w:lang w:val="tr-TR"/>
        </w:rPr>
        <w:t>Det er sjelen og hjertets skjønnhet som vil skille oss fra andre vesener.</w:t>
      </w:r>
    </w:p>
    <w:p w:rsidR="00EB70E2" w:rsidRPr="00EB70E2" w:rsidRDefault="00EB70E2" w:rsidP="00F62363">
      <w:pPr>
        <w:spacing w:after="60" w:line="240" w:lineRule="auto"/>
        <w:jc w:val="both"/>
        <w:rPr>
          <w:rFonts w:ascii="PT Serif" w:eastAsia="Calibri" w:hAnsi="PT Serif" w:cs="Arial"/>
          <w:b/>
          <w:bCs/>
          <w:sz w:val="24"/>
          <w:szCs w:val="24"/>
          <w:lang w:val="tr-TR"/>
        </w:rPr>
      </w:pPr>
      <w:r w:rsidRPr="00EB70E2">
        <w:rPr>
          <w:rFonts w:ascii="PT Serif" w:eastAsia="Calibri" w:hAnsi="PT Serif" w:cs="Arial"/>
          <w:b/>
          <w:bCs/>
          <w:sz w:val="24"/>
          <w:szCs w:val="24"/>
          <w:lang w:val="tr-TR"/>
        </w:rPr>
        <w:t>Hellige troende!</w:t>
      </w:r>
    </w:p>
    <w:p w:rsidR="00EB70E2" w:rsidRDefault="00EB70E2" w:rsidP="006C0AD8">
      <w:pPr>
        <w:spacing w:after="60" w:line="240" w:lineRule="auto"/>
        <w:jc w:val="both"/>
        <w:rPr>
          <w:rFonts w:ascii="PT Serif" w:hAnsi="PT Serif"/>
          <w:b/>
          <w:bCs/>
          <w:sz w:val="24"/>
          <w:szCs w:val="24"/>
          <w:lang w:val="tr-TR"/>
        </w:rPr>
      </w:pPr>
      <w:r w:rsidRPr="00EB70E2">
        <w:rPr>
          <w:rFonts w:ascii="PT Serif" w:eastAsia="Calibri" w:hAnsi="PT Serif" w:cs="Arial"/>
          <w:sz w:val="24"/>
          <w:szCs w:val="24"/>
          <w:lang w:val="tr-TR"/>
        </w:rPr>
        <w:t>Kyskhet er et av de viktigste begrepene som forskjønner en persons siret, indre verden og moral.</w:t>
      </w:r>
      <w:r w:rsidRPr="00EB70E2">
        <w:t xml:space="preserve"> </w:t>
      </w:r>
      <w:r w:rsidRPr="00EB70E2">
        <w:rPr>
          <w:rFonts w:ascii="PT Serif" w:eastAsia="Calibri" w:hAnsi="PT Serif" w:cs="Arial"/>
          <w:sz w:val="24"/>
          <w:szCs w:val="24"/>
          <w:lang w:val="tr-TR"/>
        </w:rPr>
        <w:t>Begrepet kyskhet; Å være forsvarlig med å spise og drikke og seksuell lyst betyr den dyden som oppnås ved å undertrykke overdreven krav og sette dem under kommando av religion og sinn.</w:t>
      </w:r>
      <w:r w:rsidRPr="00EB70E2">
        <w:t xml:space="preserve"> </w:t>
      </w:r>
      <w:r w:rsidRPr="00EB70E2">
        <w:rPr>
          <w:rFonts w:ascii="PT Serif" w:eastAsia="Calibri" w:hAnsi="PT Serif" w:cs="Arial"/>
          <w:sz w:val="24"/>
          <w:szCs w:val="24"/>
          <w:lang w:val="tr-TR"/>
        </w:rPr>
        <w:t>Kyskhet er først og fremst å ha en åndelig struktur som er frigjort fra interesse for fysiske gleder og egoistiske ytterpunkter; dette kalles "hjertets kyskhet".</w:t>
      </w:r>
      <w:r w:rsidRPr="00EB70E2">
        <w:t xml:space="preserve"> </w:t>
      </w:r>
      <w:r w:rsidRPr="00EB70E2">
        <w:rPr>
          <w:rFonts w:ascii="PT Serif" w:eastAsia="Calibri" w:hAnsi="PT Serif" w:cs="Arial"/>
          <w:sz w:val="24"/>
          <w:szCs w:val="24"/>
          <w:lang w:val="tr-TR"/>
        </w:rPr>
        <w:t>Etter det, for å oppnå perfekt kyskhet, må du holde hånden, tungen, øye, øret og hele kroppen generelt fra moralsk oppførsel.</w:t>
      </w:r>
      <w:r w:rsidRPr="00EB70E2">
        <w:t xml:space="preserve"> </w:t>
      </w:r>
      <w:r w:rsidRPr="00EB70E2">
        <w:rPr>
          <w:rFonts w:ascii="PT Serif" w:eastAsia="Calibri" w:hAnsi="PT Serif" w:cs="Arial"/>
          <w:sz w:val="24"/>
          <w:szCs w:val="24"/>
          <w:lang w:val="tr-TR"/>
        </w:rPr>
        <w:t xml:space="preserve">Vår øverste profet henvendte seg til denne saken og sa: </w:t>
      </w:r>
      <w:r w:rsidRPr="003E3DCD">
        <w:rPr>
          <w:rFonts w:ascii="PT Serif" w:hAnsi="PT Serif"/>
          <w:b/>
          <w:bCs/>
          <w:sz w:val="24"/>
          <w:szCs w:val="24"/>
          <w:lang w:val="tr-TR"/>
        </w:rPr>
        <w:t>“</w:t>
      </w:r>
      <w:r w:rsidRPr="00EB70E2">
        <w:rPr>
          <w:rFonts w:ascii="PT Serif" w:hAnsi="PT Serif"/>
          <w:b/>
          <w:bCs/>
          <w:sz w:val="24"/>
          <w:szCs w:val="24"/>
          <w:lang w:val="tr-TR"/>
        </w:rPr>
        <w:t>Den som lover meg at han vil dominere munnen og seksuelle lyster, jeg vil garanter</w:t>
      </w:r>
      <w:r w:rsidR="006C0AD8">
        <w:rPr>
          <w:rFonts w:ascii="PT Serif" w:hAnsi="PT Serif"/>
          <w:b/>
          <w:bCs/>
          <w:sz w:val="24"/>
          <w:szCs w:val="24"/>
          <w:lang w:val="tr-TR"/>
        </w:rPr>
        <w:t>e at han kommer inn i himmelen.</w:t>
      </w:r>
      <w:r>
        <w:rPr>
          <w:rFonts w:ascii="PT Serif" w:hAnsi="PT Serif"/>
          <w:b/>
          <w:bCs/>
          <w:sz w:val="24"/>
          <w:szCs w:val="24"/>
          <w:lang w:val="tr-TR"/>
        </w:rPr>
        <w:t>.</w:t>
      </w:r>
      <w:r w:rsidRPr="003E3DCD">
        <w:rPr>
          <w:rFonts w:ascii="PT Serif" w:hAnsi="PT Serif"/>
          <w:b/>
          <w:bCs/>
          <w:sz w:val="24"/>
          <w:szCs w:val="24"/>
          <w:lang w:val="tr-TR"/>
        </w:rPr>
        <w:t>”</w:t>
      </w:r>
      <w:r w:rsidRPr="00D44E30">
        <w:rPr>
          <w:rFonts w:ascii="PT Serif" w:hAnsi="PT Serif"/>
          <w:sz w:val="24"/>
          <w:szCs w:val="24"/>
          <w:lang w:val="tr-TR"/>
        </w:rPr>
        <w:t xml:space="preserve"> diye buyurmuştur.</w:t>
      </w:r>
      <w:r w:rsidRPr="00D44E30">
        <w:rPr>
          <w:rStyle w:val="Fotnotereferanse"/>
          <w:rFonts w:ascii="PT Serif" w:hAnsi="PT Serif"/>
          <w:sz w:val="24"/>
          <w:szCs w:val="24"/>
          <w:lang w:val="tr-TR"/>
        </w:rPr>
        <w:footnoteReference w:id="1"/>
      </w:r>
      <w:r w:rsidR="006C0AD8">
        <w:rPr>
          <w:rFonts w:ascii="PT Serif" w:hAnsi="PT Serif"/>
          <w:sz w:val="24"/>
          <w:szCs w:val="24"/>
          <w:lang w:val="tr-TR"/>
        </w:rPr>
        <w:t xml:space="preserve">. </w:t>
      </w:r>
      <w:r w:rsidR="006C0AD8" w:rsidRPr="006C0AD8">
        <w:rPr>
          <w:rFonts w:ascii="PT Serif" w:hAnsi="PT Serif"/>
          <w:sz w:val="24"/>
          <w:szCs w:val="24"/>
          <w:lang w:val="tr-TR"/>
        </w:rPr>
        <w:t xml:space="preserve">Naturligvis er kyskhet forbundet med en følelse av  flauhet som uttrykker skam. </w:t>
      </w:r>
      <w:r w:rsidR="006C0AD8">
        <w:rPr>
          <w:rFonts w:ascii="PT Serif" w:hAnsi="PT Serif"/>
          <w:sz w:val="24"/>
          <w:szCs w:val="24"/>
          <w:lang w:val="tr-TR"/>
        </w:rPr>
        <w:t>edilen</w:t>
      </w:r>
      <w:r w:rsidR="006C0AD8" w:rsidRPr="00D44E30">
        <w:rPr>
          <w:rFonts w:ascii="PT Serif" w:hAnsi="PT Serif"/>
          <w:sz w:val="24"/>
          <w:szCs w:val="24"/>
          <w:lang w:val="tr-TR"/>
        </w:rPr>
        <w:t xml:space="preserve"> </w:t>
      </w:r>
      <w:r w:rsidR="006C0AD8" w:rsidRPr="003E3DCD">
        <w:rPr>
          <w:rFonts w:ascii="PT Serif" w:hAnsi="PT Serif"/>
          <w:b/>
          <w:bCs/>
          <w:sz w:val="24"/>
          <w:szCs w:val="24"/>
          <w:lang w:val="tr-TR"/>
        </w:rPr>
        <w:t>“</w:t>
      </w:r>
      <w:r w:rsidR="006C0AD8" w:rsidRPr="006C0AD8">
        <w:rPr>
          <w:rFonts w:ascii="PT Serif" w:hAnsi="PT Serif"/>
          <w:b/>
          <w:bCs/>
          <w:sz w:val="24"/>
          <w:szCs w:val="24"/>
          <w:lang w:val="tr-TR"/>
        </w:rPr>
        <w:t>Hver religion ha</w:t>
      </w:r>
      <w:r w:rsidR="006C0AD8">
        <w:rPr>
          <w:rFonts w:ascii="PT Serif" w:hAnsi="PT Serif"/>
          <w:b/>
          <w:bCs/>
          <w:sz w:val="24"/>
          <w:szCs w:val="24"/>
          <w:lang w:val="tr-TR"/>
        </w:rPr>
        <w:t>r en moral, og skam er moral av</w:t>
      </w:r>
      <w:r w:rsidR="006C0AD8" w:rsidRPr="006C0AD8">
        <w:rPr>
          <w:rFonts w:ascii="PT Serif" w:hAnsi="PT Serif"/>
          <w:b/>
          <w:bCs/>
          <w:sz w:val="24"/>
          <w:szCs w:val="24"/>
          <w:lang w:val="tr-TR"/>
        </w:rPr>
        <w:t xml:space="preserve"> islam.</w:t>
      </w:r>
      <w:r w:rsidR="006C0AD8" w:rsidRPr="003E3DCD">
        <w:rPr>
          <w:rFonts w:ascii="PT Serif" w:hAnsi="PT Serif"/>
          <w:b/>
          <w:bCs/>
          <w:sz w:val="24"/>
          <w:szCs w:val="24"/>
          <w:lang w:val="tr-TR"/>
        </w:rPr>
        <w:t>”</w:t>
      </w:r>
      <w:r w:rsidR="006C0AD8" w:rsidRPr="00D44E30">
        <w:rPr>
          <w:rStyle w:val="Fotnotereferanse"/>
          <w:rFonts w:ascii="PT Serif" w:hAnsi="PT Serif"/>
          <w:sz w:val="24"/>
          <w:szCs w:val="24"/>
          <w:lang w:val="tr-TR"/>
        </w:rPr>
        <w:footnoteReference w:id="2"/>
      </w:r>
    </w:p>
    <w:p w:rsidR="006C0AD8" w:rsidRDefault="006C0AD8" w:rsidP="006C0AD8">
      <w:pPr>
        <w:spacing w:after="60" w:line="240" w:lineRule="auto"/>
        <w:jc w:val="both"/>
        <w:rPr>
          <w:rFonts w:ascii="PT Serif" w:eastAsia="Calibri" w:hAnsi="PT Serif" w:cs="Arial"/>
          <w:sz w:val="24"/>
          <w:szCs w:val="24"/>
          <w:lang w:val="tr-TR"/>
        </w:rPr>
      </w:pPr>
      <w:r w:rsidRPr="006C0AD8">
        <w:rPr>
          <w:rFonts w:ascii="PT Serif" w:eastAsia="Calibri" w:hAnsi="PT Serif" w:cs="Arial"/>
          <w:b/>
          <w:bCs/>
          <w:sz w:val="24"/>
          <w:szCs w:val="24"/>
          <w:lang w:val="tr-TR"/>
        </w:rPr>
        <w:t>Mine ærede brødre</w:t>
      </w:r>
      <w:r w:rsidRPr="006C0AD8">
        <w:rPr>
          <w:rFonts w:ascii="PT Serif" w:eastAsia="Calibri" w:hAnsi="PT Serif" w:cs="Arial"/>
          <w:sz w:val="24"/>
          <w:szCs w:val="24"/>
          <w:lang w:val="tr-TR"/>
        </w:rPr>
        <w:t>!</w:t>
      </w:r>
    </w:p>
    <w:p w:rsidR="006C0AD8" w:rsidRDefault="006C0AD8" w:rsidP="00F555EE">
      <w:pPr>
        <w:spacing w:after="60" w:line="240" w:lineRule="auto"/>
        <w:jc w:val="both"/>
        <w:rPr>
          <w:rFonts w:ascii="PT Serif" w:hAnsi="PT Serif"/>
          <w:b/>
          <w:bCs/>
          <w:sz w:val="24"/>
          <w:szCs w:val="24"/>
          <w:lang w:val="tr-TR"/>
        </w:rPr>
      </w:pPr>
      <w:r w:rsidRPr="006C0AD8">
        <w:rPr>
          <w:rFonts w:ascii="PT Serif" w:eastAsia="Calibri" w:hAnsi="PT Serif" w:cs="Arial"/>
          <w:sz w:val="24"/>
          <w:szCs w:val="24"/>
          <w:lang w:val="tr-TR"/>
        </w:rPr>
        <w:t>Alle slags god moral vi besitter, må beskyttes i strømmen og hastverket i livene våre.</w:t>
      </w:r>
      <w:r w:rsidRPr="006C0AD8">
        <w:t xml:space="preserve"> </w:t>
      </w:r>
      <w:r w:rsidRPr="006C0AD8">
        <w:rPr>
          <w:rFonts w:ascii="PT Serif" w:eastAsia="Calibri" w:hAnsi="PT Serif" w:cs="Arial"/>
          <w:sz w:val="24"/>
          <w:szCs w:val="24"/>
          <w:lang w:val="tr-TR"/>
        </w:rPr>
        <w:t>Det er uunngåelig at miljøet vi lever i har positive eller negative effekter på vår åndelige verden.</w:t>
      </w:r>
      <w:r w:rsidRPr="006C0AD8">
        <w:t xml:space="preserve"> </w:t>
      </w:r>
      <w:r w:rsidR="00F555EE" w:rsidRPr="00F555EE">
        <w:rPr>
          <w:rFonts w:ascii="PT Serif" w:eastAsia="Calibri" w:hAnsi="PT Serif" w:cs="Arial"/>
          <w:sz w:val="24"/>
          <w:szCs w:val="24"/>
          <w:lang w:val="tr-TR"/>
        </w:rPr>
        <w:t xml:space="preserve">Et av de effektive tiltakene for å beskytte kyskhet er hijab, et </w:t>
      </w:r>
      <w:r w:rsidR="00F555EE" w:rsidRPr="00F555EE">
        <w:rPr>
          <w:rFonts w:ascii="PT Serif" w:eastAsia="Calibri" w:hAnsi="PT Serif" w:cs="Arial"/>
          <w:sz w:val="24"/>
          <w:szCs w:val="24"/>
          <w:lang w:val="tr-TR"/>
        </w:rPr>
        <w:t>av de viktigste diktene som Allah befalte oss.</w:t>
      </w:r>
      <w:r w:rsidR="00F555EE" w:rsidRPr="00F555EE">
        <w:t xml:space="preserve"> </w:t>
      </w:r>
      <w:r w:rsidR="00F555EE" w:rsidRPr="00F555EE">
        <w:rPr>
          <w:rFonts w:ascii="PT Serif" w:eastAsia="Calibri" w:hAnsi="PT Serif" w:cs="Arial"/>
          <w:sz w:val="24"/>
          <w:szCs w:val="24"/>
          <w:lang w:val="tr-TR"/>
        </w:rPr>
        <w:t>Allah (c.c.) gir en felles beskjed til menn og kvinner i Koranen som han sender som en guide til menneskeheten;</w:t>
      </w:r>
      <w:r w:rsidR="00F555EE" w:rsidRPr="00F555EE">
        <w:rPr>
          <w:rFonts w:ascii="PT Serif" w:hAnsi="PT Serif"/>
          <w:b/>
          <w:bCs/>
          <w:sz w:val="24"/>
          <w:szCs w:val="24"/>
          <w:lang w:val="tr-TR"/>
        </w:rPr>
        <w:t xml:space="preserve"> </w:t>
      </w:r>
      <w:r w:rsidR="00F555EE" w:rsidRPr="003E3DCD">
        <w:rPr>
          <w:rFonts w:ascii="PT Serif" w:hAnsi="PT Serif"/>
          <w:b/>
          <w:bCs/>
          <w:sz w:val="24"/>
          <w:szCs w:val="24"/>
          <w:lang w:val="tr-TR"/>
        </w:rPr>
        <w:t>“</w:t>
      </w:r>
      <w:r w:rsidR="00F555EE" w:rsidRPr="00F555EE">
        <w:rPr>
          <w:rFonts w:ascii="PT Serif" w:hAnsi="PT Serif"/>
          <w:b/>
          <w:bCs/>
          <w:sz w:val="24"/>
          <w:szCs w:val="24"/>
        </w:rPr>
        <w:t xml:space="preserve">Si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til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de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troende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menn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at de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må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holde sine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blikk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senket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og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vokte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sine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kjønnsdeler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;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dette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er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mer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rent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for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dem.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Sannelig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, Allah er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vel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underrettet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om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alt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det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de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utfører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>.</w:t>
      </w:r>
      <w:r w:rsidR="00F555EE" w:rsidRPr="003E3DCD">
        <w:rPr>
          <w:rFonts w:ascii="PT Serif" w:hAnsi="PT Serif"/>
          <w:b/>
          <w:bCs/>
          <w:sz w:val="24"/>
          <w:szCs w:val="24"/>
          <w:lang w:val="tr-TR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Og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si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til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de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troende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kvinner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at de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også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må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holde sine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blikk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senket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og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vokte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sine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kjønnsdeler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og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ikke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vise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sin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forskjønnelse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,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unntatt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det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(den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delen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)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som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er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synlig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av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seg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selv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.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Og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de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må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trekke sine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hodeslør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(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og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sjal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)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over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sine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bryst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,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og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de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må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ikke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vise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sin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forskjønnelse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til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</w:t>
      </w:r>
      <w:proofErr w:type="spellStart"/>
      <w:r w:rsidR="00F555EE" w:rsidRPr="00F555EE">
        <w:rPr>
          <w:rFonts w:ascii="PT Serif" w:hAnsi="PT Serif"/>
          <w:b/>
          <w:bCs/>
          <w:sz w:val="24"/>
          <w:szCs w:val="24"/>
        </w:rPr>
        <w:t>noen</w:t>
      </w:r>
      <w:proofErr w:type="spellEnd"/>
      <w:r w:rsidR="00F555EE" w:rsidRPr="00F555EE">
        <w:rPr>
          <w:rFonts w:ascii="PT Serif" w:hAnsi="PT Serif"/>
          <w:b/>
          <w:bCs/>
          <w:sz w:val="24"/>
          <w:szCs w:val="24"/>
        </w:rPr>
        <w:t xml:space="preserve"> andre.</w:t>
      </w:r>
      <w:r w:rsidR="00F555EE" w:rsidRPr="003E3DCD">
        <w:rPr>
          <w:rFonts w:ascii="PT Serif" w:hAnsi="PT Serif"/>
          <w:b/>
          <w:bCs/>
          <w:sz w:val="24"/>
          <w:szCs w:val="24"/>
          <w:lang w:val="tr-TR"/>
        </w:rPr>
        <w:t>”</w:t>
      </w:r>
      <w:r w:rsidR="00F555EE" w:rsidRPr="00D44E30">
        <w:rPr>
          <w:rStyle w:val="Fotnotereferanse"/>
          <w:rFonts w:ascii="PT Serif" w:hAnsi="PT Serif"/>
          <w:sz w:val="24"/>
          <w:szCs w:val="24"/>
          <w:lang w:val="tr-TR"/>
        </w:rPr>
        <w:footnoteReference w:id="3"/>
      </w:r>
    </w:p>
    <w:p w:rsidR="00F555EE" w:rsidRPr="00F555EE" w:rsidRDefault="00F555EE" w:rsidP="00F555EE">
      <w:pPr>
        <w:spacing w:after="60" w:line="240" w:lineRule="auto"/>
        <w:jc w:val="both"/>
        <w:rPr>
          <w:rFonts w:ascii="PT Serif" w:eastAsia="Calibri" w:hAnsi="PT Serif" w:cs="Arial"/>
          <w:b/>
          <w:bCs/>
          <w:sz w:val="24"/>
          <w:szCs w:val="24"/>
          <w:lang w:val="tr-TR"/>
        </w:rPr>
      </w:pPr>
      <w:r w:rsidRPr="00F555EE">
        <w:rPr>
          <w:rFonts w:ascii="PT Serif" w:eastAsia="Calibri" w:hAnsi="PT Serif" w:cs="Arial"/>
          <w:b/>
          <w:bCs/>
          <w:sz w:val="24"/>
          <w:szCs w:val="24"/>
          <w:lang w:val="tr-TR"/>
        </w:rPr>
        <w:t>Aziz Jamaat!</w:t>
      </w:r>
    </w:p>
    <w:p w:rsidR="007716A4" w:rsidRDefault="00F555EE" w:rsidP="00F555EE">
      <w:pPr>
        <w:spacing w:after="60" w:line="240" w:lineRule="auto"/>
        <w:jc w:val="both"/>
      </w:pPr>
      <w:r w:rsidRPr="00F555EE">
        <w:rPr>
          <w:rFonts w:ascii="PT Serif" w:eastAsia="Calibri" w:hAnsi="PT Serif" w:cs="Arial"/>
          <w:sz w:val="24"/>
          <w:szCs w:val="24"/>
          <w:lang w:val="tr-TR"/>
        </w:rPr>
        <w:t>Den mest respekterte og pålitelige måten å ta del i vårt sosiale liv som en "menneske", ikke med vår seksuelle identitet som menn og kvinner, er å respektere hijab.</w:t>
      </w:r>
      <w:r w:rsidRPr="00F555EE">
        <w:rPr>
          <w:rFonts w:ascii="PT Serif" w:eastAsia="Calibri" w:hAnsi="PT Serif" w:cs="Arial"/>
          <w:b/>
          <w:bCs/>
          <w:sz w:val="23"/>
          <w:szCs w:val="23"/>
          <w:lang w:val="tr-TR"/>
        </w:rPr>
        <w:t xml:space="preserve"> </w:t>
      </w:r>
      <w:r w:rsidRPr="00F555EE">
        <w:rPr>
          <w:rFonts w:ascii="PT Serif" w:eastAsia="Calibri" w:hAnsi="PT Serif" w:cs="Arial"/>
          <w:b/>
          <w:bCs/>
          <w:sz w:val="23"/>
          <w:szCs w:val="23"/>
          <w:lang w:val="tr-TR"/>
        </w:rPr>
        <w:t>“</w:t>
      </w:r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Å, Adams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barn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!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Sannelig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,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Vi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har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sendt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ned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for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dere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slikt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antrekk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som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skjuler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deres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kjønnsdeler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og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er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til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pynt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,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og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(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med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dette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ytre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antrekket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har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Vi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sendt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ned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et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åndelig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antrekk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som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er)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gudfryktighetens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antrekk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,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det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er best.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Disse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(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det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ytre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og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åndelige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antrekket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) er Allahs </w:t>
      </w:r>
      <w:proofErr w:type="spellStart"/>
      <w:r w:rsidRPr="00F555EE">
        <w:rPr>
          <w:rFonts w:ascii="PT Serif" w:eastAsia="Calibri" w:hAnsi="PT Serif" w:cs="Arial"/>
          <w:b/>
          <w:bCs/>
          <w:sz w:val="23"/>
          <w:szCs w:val="23"/>
        </w:rPr>
        <w:t>tegn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</w:rPr>
        <w:t xml:space="preserve">, </w:t>
      </w:r>
      <w:proofErr w:type="spellStart"/>
      <w:r>
        <w:rPr>
          <w:rFonts w:ascii="PT Serif" w:eastAsia="Calibri" w:hAnsi="PT Serif" w:cs="Arial"/>
          <w:b/>
          <w:bCs/>
          <w:sz w:val="23"/>
          <w:szCs w:val="23"/>
        </w:rPr>
        <w:t>slik</w:t>
      </w:r>
      <w:proofErr w:type="spellEnd"/>
      <w:r>
        <w:rPr>
          <w:rFonts w:ascii="PT Serif" w:eastAsia="Calibri" w:hAnsi="PT Serif" w:cs="Arial"/>
          <w:b/>
          <w:bCs/>
          <w:sz w:val="23"/>
          <w:szCs w:val="23"/>
        </w:rPr>
        <w:t xml:space="preserve"> at de </w:t>
      </w:r>
      <w:proofErr w:type="spellStart"/>
      <w:r>
        <w:rPr>
          <w:rFonts w:ascii="PT Serif" w:eastAsia="Calibri" w:hAnsi="PT Serif" w:cs="Arial"/>
          <w:b/>
          <w:bCs/>
          <w:sz w:val="23"/>
          <w:szCs w:val="23"/>
        </w:rPr>
        <w:t>må</w:t>
      </w:r>
      <w:proofErr w:type="spellEnd"/>
      <w:r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PT Serif" w:eastAsia="Calibri" w:hAnsi="PT Serif" w:cs="Arial"/>
          <w:b/>
          <w:bCs/>
          <w:sz w:val="23"/>
          <w:szCs w:val="23"/>
        </w:rPr>
        <w:t>godta</w:t>
      </w:r>
      <w:proofErr w:type="spellEnd"/>
      <w:r>
        <w:rPr>
          <w:rFonts w:ascii="PT Serif" w:eastAsia="Calibri" w:hAnsi="PT Serif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PT Serif" w:eastAsia="Calibri" w:hAnsi="PT Serif" w:cs="Arial"/>
          <w:b/>
          <w:bCs/>
          <w:sz w:val="23"/>
          <w:szCs w:val="23"/>
        </w:rPr>
        <w:t>formaningen</w:t>
      </w:r>
      <w:proofErr w:type="spellEnd"/>
      <w:r w:rsidRPr="00F555EE">
        <w:rPr>
          <w:rFonts w:ascii="PT Serif" w:eastAsia="Calibri" w:hAnsi="PT Serif" w:cs="Arial"/>
          <w:b/>
          <w:bCs/>
          <w:sz w:val="23"/>
          <w:szCs w:val="23"/>
          <w:lang w:val="tr-TR"/>
        </w:rPr>
        <w:t>.”</w:t>
      </w:r>
      <w:r w:rsidRPr="00F555EE">
        <w:rPr>
          <w:rFonts w:ascii="PT Serif" w:eastAsia="Calibri" w:hAnsi="PT Serif" w:cs="Arial"/>
          <w:sz w:val="23"/>
          <w:szCs w:val="23"/>
          <w:vertAlign w:val="superscript"/>
          <w:lang w:val="tr-TR"/>
        </w:rPr>
        <w:footnoteReference w:id="4"/>
      </w:r>
      <w:r w:rsidR="007716A4" w:rsidRPr="007716A4">
        <w:t xml:space="preserve"> </w:t>
      </w:r>
      <w:r w:rsidR="007716A4" w:rsidRPr="007716A4">
        <w:rPr>
          <w:rFonts w:ascii="PT Serif" w:eastAsia="Calibri" w:hAnsi="PT Serif" w:cs="Arial"/>
          <w:sz w:val="23"/>
          <w:szCs w:val="23"/>
          <w:lang w:val="tr-TR"/>
        </w:rPr>
        <w:t>Som troende kan vi ha taqwa ved å prøve å oppfylle Allahs bud med rett og ikhlas.</w:t>
      </w:r>
      <w:r w:rsidR="007716A4" w:rsidRPr="007716A4">
        <w:t xml:space="preserve"> </w:t>
      </w:r>
    </w:p>
    <w:p w:rsidR="006C0AD8" w:rsidRPr="00F84B59" w:rsidRDefault="007716A4" w:rsidP="00F555EE">
      <w:pPr>
        <w:spacing w:after="60" w:line="240" w:lineRule="auto"/>
        <w:jc w:val="both"/>
        <w:rPr>
          <w:rFonts w:ascii="PT Serif" w:eastAsia="Calibri" w:hAnsi="PT Serif" w:cs="Arial"/>
          <w:sz w:val="24"/>
          <w:szCs w:val="24"/>
          <w:lang w:val="tr-TR"/>
        </w:rPr>
      </w:pPr>
      <w:r w:rsidRPr="007716A4">
        <w:rPr>
          <w:rFonts w:ascii="PT Serif" w:eastAsia="Calibri" w:hAnsi="PT Serif" w:cs="Arial"/>
          <w:sz w:val="23"/>
          <w:szCs w:val="23"/>
          <w:lang w:val="tr-TR"/>
        </w:rPr>
        <w:t>Måtte vår Mawla være med de av oss som har kyskhet, de som holder seg til hijabs rett og de som har på seg kjolen.</w:t>
      </w:r>
    </w:p>
    <w:p w:rsidR="00D743B5" w:rsidRPr="00F84B59" w:rsidRDefault="007716A4" w:rsidP="007716A4">
      <w:pPr>
        <w:jc w:val="right"/>
        <w:rPr>
          <w:lang w:val="tr-TR"/>
        </w:rPr>
      </w:pPr>
      <w:r>
        <w:rPr>
          <w:noProof/>
          <w:lang w:val="nb-NO" w:eastAsia="nb-NO"/>
        </w:rPr>
        <w:drawing>
          <wp:inline distT="0" distB="0" distL="0" distR="0" wp14:anchorId="6CA2C8D5">
            <wp:extent cx="1365885" cy="286385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43B5" w:rsidRPr="00F84B59" w:rsidSect="007716A4">
      <w:pgSz w:w="11906" w:h="16838"/>
      <w:pgMar w:top="851" w:right="707" w:bottom="284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F9" w:rsidRDefault="005B30F9" w:rsidP="00EB70E2">
      <w:pPr>
        <w:spacing w:after="0" w:line="240" w:lineRule="auto"/>
      </w:pPr>
      <w:r>
        <w:separator/>
      </w:r>
    </w:p>
  </w:endnote>
  <w:endnote w:type="continuationSeparator" w:id="0">
    <w:p w:rsidR="005B30F9" w:rsidRDefault="005B30F9" w:rsidP="00EB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4D"/>
    <w:family w:val="roman"/>
    <w:pitch w:val="variable"/>
    <w:sig w:usb0="00000001" w:usb1="5000204B" w:usb2="00000000" w:usb3="00000000" w:csb0="00000097" w:csb1="00000000"/>
  </w:font>
  <w:font w:name="XB Niloofar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F9" w:rsidRDefault="005B30F9" w:rsidP="00EB70E2">
      <w:pPr>
        <w:spacing w:after="0" w:line="240" w:lineRule="auto"/>
      </w:pPr>
      <w:r>
        <w:separator/>
      </w:r>
    </w:p>
  </w:footnote>
  <w:footnote w:type="continuationSeparator" w:id="0">
    <w:p w:rsidR="005B30F9" w:rsidRDefault="005B30F9" w:rsidP="00EB70E2">
      <w:pPr>
        <w:spacing w:after="0" w:line="240" w:lineRule="auto"/>
      </w:pPr>
      <w:r>
        <w:continuationSeparator/>
      </w:r>
    </w:p>
  </w:footnote>
  <w:footnote w:id="1">
    <w:p w:rsidR="00EB70E2" w:rsidRPr="003E3DCD" w:rsidRDefault="00EB70E2" w:rsidP="00EB70E2">
      <w:pPr>
        <w:pStyle w:val="Fotnotetekst"/>
        <w:rPr>
          <w:rFonts w:ascii="PT Serif" w:hAnsi="PT Serif"/>
          <w:sz w:val="18"/>
          <w:szCs w:val="18"/>
          <w:lang w:val="tr-TR"/>
        </w:rPr>
      </w:pPr>
      <w:r w:rsidRPr="003E3DCD">
        <w:rPr>
          <w:rStyle w:val="Fotnotereferanse"/>
          <w:rFonts w:ascii="PT Serif" w:hAnsi="PT Serif"/>
          <w:sz w:val="18"/>
          <w:szCs w:val="18"/>
        </w:rPr>
        <w:footnoteRef/>
      </w:r>
      <w:r w:rsidRPr="003E3DCD">
        <w:rPr>
          <w:rFonts w:ascii="PT Serif" w:hAnsi="PT Serif"/>
          <w:sz w:val="18"/>
          <w:szCs w:val="18"/>
        </w:rPr>
        <w:t xml:space="preserve"> </w:t>
      </w:r>
      <w:r w:rsidRPr="003E3DCD">
        <w:rPr>
          <w:rFonts w:ascii="PT Serif" w:hAnsi="PT Serif"/>
          <w:sz w:val="18"/>
          <w:szCs w:val="18"/>
          <w:lang w:val="tr-TR"/>
        </w:rPr>
        <w:t xml:space="preserve">Buhârî, </w:t>
      </w:r>
      <w:r w:rsidRPr="003E3DCD">
        <w:rPr>
          <w:rFonts w:ascii="Cambria" w:hAnsi="Cambria" w:cs="Cambria"/>
          <w:sz w:val="18"/>
          <w:szCs w:val="18"/>
          <w:lang w:val="tr-TR"/>
        </w:rPr>
        <w:t>Ḥ</w:t>
      </w:r>
      <w:r w:rsidRPr="003E3DCD">
        <w:rPr>
          <w:rFonts w:ascii="PT Serif" w:hAnsi="PT Serif"/>
          <w:sz w:val="18"/>
          <w:szCs w:val="18"/>
          <w:lang w:val="tr-TR"/>
        </w:rPr>
        <w:t>udûd, 19, H.No: 6807</w:t>
      </w:r>
    </w:p>
  </w:footnote>
  <w:footnote w:id="2">
    <w:p w:rsidR="006C0AD8" w:rsidRPr="003E3DCD" w:rsidRDefault="006C0AD8" w:rsidP="006C0AD8">
      <w:pPr>
        <w:pStyle w:val="Fotnotetekst"/>
        <w:rPr>
          <w:rFonts w:ascii="PT Serif" w:hAnsi="PT Serif"/>
          <w:sz w:val="18"/>
          <w:szCs w:val="18"/>
          <w:lang w:val="tr-TR"/>
        </w:rPr>
      </w:pPr>
      <w:r w:rsidRPr="003E3DCD">
        <w:rPr>
          <w:rStyle w:val="Fotnotereferanse"/>
          <w:rFonts w:ascii="PT Serif" w:hAnsi="PT Serif"/>
          <w:sz w:val="18"/>
          <w:szCs w:val="18"/>
        </w:rPr>
        <w:footnoteRef/>
      </w:r>
      <w:r w:rsidRPr="003E3DCD">
        <w:rPr>
          <w:rFonts w:ascii="PT Serif" w:hAnsi="PT Serif"/>
          <w:sz w:val="18"/>
          <w:szCs w:val="18"/>
        </w:rPr>
        <w:t xml:space="preserve"> </w:t>
      </w:r>
      <w:r>
        <w:rPr>
          <w:rFonts w:ascii="PT Serif" w:hAnsi="PT Serif"/>
          <w:sz w:val="18"/>
          <w:szCs w:val="18"/>
          <w:lang w:val="tr-TR"/>
        </w:rPr>
        <w:t xml:space="preserve">Mâlik, </w:t>
      </w:r>
      <w:r w:rsidRPr="003E3DCD">
        <w:rPr>
          <w:rFonts w:ascii="PT Serif" w:hAnsi="PT Serif"/>
          <w:sz w:val="18"/>
          <w:szCs w:val="18"/>
          <w:lang w:val="tr-TR"/>
        </w:rPr>
        <w:t>Muva</w:t>
      </w:r>
      <w:r w:rsidRPr="003E3DCD">
        <w:rPr>
          <w:rFonts w:ascii="Cambria" w:hAnsi="Cambria" w:cs="Cambria"/>
          <w:sz w:val="18"/>
          <w:szCs w:val="18"/>
          <w:lang w:val="tr-TR"/>
        </w:rPr>
        <w:t>ṭṭ</w:t>
      </w:r>
      <w:r w:rsidRPr="003E3DCD">
        <w:rPr>
          <w:rFonts w:ascii="PT Serif" w:hAnsi="PT Serif"/>
          <w:sz w:val="18"/>
          <w:szCs w:val="18"/>
          <w:lang w:val="tr-TR"/>
        </w:rPr>
        <w:t>a</w:t>
      </w:r>
      <w:r w:rsidRPr="003E3DCD">
        <w:rPr>
          <w:rFonts w:ascii="Times New Roman" w:hAnsi="Times New Roman" w:cs="Times New Roman"/>
          <w:sz w:val="18"/>
          <w:szCs w:val="18"/>
          <w:lang w:val="tr-TR"/>
        </w:rPr>
        <w:t>ʾ</w:t>
      </w:r>
      <w:r w:rsidRPr="003E3DCD">
        <w:rPr>
          <w:rFonts w:ascii="PT Serif" w:hAnsi="PT Serif"/>
          <w:sz w:val="18"/>
          <w:szCs w:val="18"/>
          <w:lang w:val="tr-TR"/>
        </w:rPr>
        <w:t xml:space="preserve">, </w:t>
      </w:r>
      <w:r w:rsidRPr="003E3DCD">
        <w:rPr>
          <w:rFonts w:ascii="Cambria" w:hAnsi="Cambria" w:cs="Cambria"/>
          <w:sz w:val="18"/>
          <w:szCs w:val="18"/>
          <w:lang w:val="tr-TR"/>
        </w:rPr>
        <w:t>Ḥ</w:t>
      </w:r>
      <w:r w:rsidRPr="003E3DCD">
        <w:rPr>
          <w:rFonts w:ascii="PT Serif" w:hAnsi="PT Serif"/>
          <w:sz w:val="18"/>
          <w:szCs w:val="18"/>
          <w:lang w:val="tr-TR"/>
        </w:rPr>
        <w:t>üsnü’l-</w:t>
      </w:r>
      <w:r>
        <w:rPr>
          <w:rFonts w:ascii="Cambria" w:hAnsi="Cambria" w:cs="Cambria"/>
          <w:sz w:val="18"/>
          <w:szCs w:val="18"/>
          <w:lang w:val="tr-TR"/>
        </w:rPr>
        <w:t>H</w:t>
      </w:r>
      <w:r w:rsidRPr="003E3DCD">
        <w:rPr>
          <w:rFonts w:ascii="PT Serif" w:hAnsi="PT Serif"/>
          <w:sz w:val="18"/>
          <w:szCs w:val="18"/>
          <w:lang w:val="tr-TR"/>
        </w:rPr>
        <w:t>ulu</w:t>
      </w:r>
      <w:r w:rsidRPr="003E3DCD">
        <w:rPr>
          <w:rFonts w:ascii="Cambria" w:hAnsi="Cambria" w:cs="Cambria"/>
          <w:sz w:val="18"/>
          <w:szCs w:val="18"/>
          <w:lang w:val="tr-TR"/>
        </w:rPr>
        <w:t>ḳ</w:t>
      </w:r>
      <w:r w:rsidRPr="003E3DCD">
        <w:rPr>
          <w:rFonts w:ascii="PT Serif" w:hAnsi="PT Serif"/>
          <w:sz w:val="18"/>
          <w:szCs w:val="18"/>
          <w:lang w:val="tr-TR"/>
        </w:rPr>
        <w:t>, 9</w:t>
      </w:r>
    </w:p>
  </w:footnote>
  <w:footnote w:id="3">
    <w:p w:rsidR="00F555EE" w:rsidRPr="003E3DCD" w:rsidRDefault="00F555EE" w:rsidP="00F555EE">
      <w:pPr>
        <w:pStyle w:val="Fotnotetekst"/>
        <w:rPr>
          <w:rFonts w:ascii="PT Serif" w:hAnsi="PT Serif"/>
          <w:sz w:val="18"/>
          <w:szCs w:val="18"/>
          <w:lang w:val="tr-TR"/>
        </w:rPr>
      </w:pPr>
      <w:r w:rsidRPr="003E3DCD">
        <w:rPr>
          <w:rStyle w:val="Fotnotereferanse"/>
          <w:rFonts w:ascii="PT Serif" w:hAnsi="PT Serif"/>
          <w:sz w:val="18"/>
          <w:szCs w:val="18"/>
        </w:rPr>
        <w:footnoteRef/>
      </w:r>
      <w:r w:rsidRPr="003E3DCD">
        <w:rPr>
          <w:rFonts w:ascii="PT Serif" w:hAnsi="PT Serif"/>
          <w:sz w:val="18"/>
          <w:szCs w:val="18"/>
        </w:rPr>
        <w:t xml:space="preserve"> </w:t>
      </w:r>
      <w:proofErr w:type="spellStart"/>
      <w:r w:rsidRPr="003E3DCD">
        <w:rPr>
          <w:rFonts w:ascii="PT Serif" w:hAnsi="PT Serif"/>
          <w:sz w:val="18"/>
          <w:szCs w:val="18"/>
        </w:rPr>
        <w:t>Nûr</w:t>
      </w:r>
      <w:proofErr w:type="spellEnd"/>
      <w:r w:rsidRPr="003E3DCD">
        <w:rPr>
          <w:rFonts w:ascii="PT Serif" w:hAnsi="PT Serif"/>
          <w:sz w:val="18"/>
          <w:szCs w:val="18"/>
        </w:rPr>
        <w:t xml:space="preserve"> </w:t>
      </w:r>
      <w:proofErr w:type="spellStart"/>
      <w:r w:rsidRPr="003E3DCD">
        <w:rPr>
          <w:rFonts w:ascii="PT Serif" w:hAnsi="PT Serif"/>
          <w:sz w:val="18"/>
          <w:szCs w:val="18"/>
        </w:rPr>
        <w:t>suresi</w:t>
      </w:r>
      <w:proofErr w:type="spellEnd"/>
      <w:r w:rsidRPr="003E3DCD">
        <w:rPr>
          <w:rFonts w:ascii="PT Serif" w:hAnsi="PT Serif"/>
          <w:sz w:val="18"/>
          <w:szCs w:val="18"/>
        </w:rPr>
        <w:t>, 24:30-31</w:t>
      </w:r>
    </w:p>
  </w:footnote>
  <w:footnote w:id="4">
    <w:p w:rsidR="00F555EE" w:rsidRPr="001D619B" w:rsidRDefault="00F555EE" w:rsidP="00F555EE">
      <w:pPr>
        <w:pStyle w:val="Fotnotetekst"/>
        <w:rPr>
          <w:lang w:val="tr-TR"/>
        </w:rPr>
      </w:pPr>
      <w:r w:rsidRPr="003E3DCD">
        <w:rPr>
          <w:rStyle w:val="Fotnotereferanse"/>
          <w:rFonts w:ascii="PT Serif" w:hAnsi="PT Serif"/>
          <w:sz w:val="18"/>
          <w:szCs w:val="18"/>
        </w:rPr>
        <w:footnoteRef/>
      </w:r>
      <w:r w:rsidRPr="003E3DCD">
        <w:rPr>
          <w:rFonts w:ascii="PT Serif" w:hAnsi="PT Serif"/>
          <w:sz w:val="18"/>
          <w:szCs w:val="18"/>
        </w:rPr>
        <w:t xml:space="preserve"> </w:t>
      </w:r>
      <w:proofErr w:type="spellStart"/>
      <w:r w:rsidRPr="003E3DCD">
        <w:rPr>
          <w:rFonts w:ascii="PT Serif" w:hAnsi="PT Serif"/>
          <w:sz w:val="18"/>
          <w:szCs w:val="18"/>
        </w:rPr>
        <w:t>A’râf</w:t>
      </w:r>
      <w:proofErr w:type="spellEnd"/>
      <w:r w:rsidRPr="003E3DCD">
        <w:rPr>
          <w:rFonts w:ascii="PT Serif" w:hAnsi="PT Serif"/>
          <w:sz w:val="18"/>
          <w:szCs w:val="18"/>
        </w:rPr>
        <w:t xml:space="preserve"> </w:t>
      </w:r>
      <w:proofErr w:type="spellStart"/>
      <w:r w:rsidRPr="003E3DCD">
        <w:rPr>
          <w:rFonts w:ascii="PT Serif" w:hAnsi="PT Serif"/>
          <w:sz w:val="18"/>
          <w:szCs w:val="18"/>
        </w:rPr>
        <w:t>suresi</w:t>
      </w:r>
      <w:proofErr w:type="spellEnd"/>
      <w:r w:rsidRPr="003E3DCD">
        <w:rPr>
          <w:rFonts w:ascii="PT Serif" w:hAnsi="PT Serif"/>
          <w:sz w:val="18"/>
          <w:szCs w:val="18"/>
        </w:rPr>
        <w:t>, 7:26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59"/>
    <w:rsid w:val="00171EF6"/>
    <w:rsid w:val="005B30F9"/>
    <w:rsid w:val="006C0AD8"/>
    <w:rsid w:val="006F26F7"/>
    <w:rsid w:val="007716A4"/>
    <w:rsid w:val="00C84AF3"/>
    <w:rsid w:val="00EB70E2"/>
    <w:rsid w:val="00F555EE"/>
    <w:rsid w:val="00F62363"/>
    <w:rsid w:val="00F8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5F6A9-B3EF-41EE-BC56-F07C20A6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59"/>
    <w:rPr>
      <w:lang w:val="de-DE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EB70E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B70E2"/>
    <w:rPr>
      <w:sz w:val="20"/>
      <w:szCs w:val="20"/>
      <w:lang w:val="de-DE"/>
    </w:rPr>
  </w:style>
  <w:style w:type="character" w:styleId="Fotnotereferanse">
    <w:name w:val="footnote reference"/>
    <w:basedOn w:val="Standardskriftforavsnitt"/>
    <w:uiPriority w:val="99"/>
    <w:semiHidden/>
    <w:unhideWhenUsed/>
    <w:rsid w:val="00EB7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Gjest</dc:creator>
  <cp:keywords/>
  <dc:description/>
  <cp:lastModifiedBy>Gjest</cp:lastModifiedBy>
  <cp:revision>1</cp:revision>
  <dcterms:created xsi:type="dcterms:W3CDTF">2020-06-02T17:25:00Z</dcterms:created>
  <dcterms:modified xsi:type="dcterms:W3CDTF">2020-06-02T18:28:00Z</dcterms:modified>
</cp:coreProperties>
</file>